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05" w:type="dxa"/>
        <w:tblInd w:w="-6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88"/>
        <w:gridCol w:w="679"/>
        <w:gridCol w:w="473"/>
        <w:gridCol w:w="602"/>
        <w:gridCol w:w="1270"/>
        <w:gridCol w:w="692"/>
        <w:gridCol w:w="966"/>
        <w:gridCol w:w="1039"/>
        <w:gridCol w:w="245"/>
        <w:gridCol w:w="2178"/>
        <w:gridCol w:w="236"/>
        <w:gridCol w:w="1423"/>
        <w:gridCol w:w="1096"/>
        <w:gridCol w:w="1486"/>
      </w:tblGrid>
      <w:tr>
        <w:trPr>
          <w:trHeight w:val="369" w:hRule="atLeast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41" w:hRule="atLeast"/>
        </w:trPr>
        <w:tc>
          <w:tcPr>
            <w:tcW w:w="13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2024年济南新旧动能转换起步区所属单位引进急需紧缺专业人才岗位表</w:t>
            </w:r>
          </w:p>
        </w:tc>
      </w:tr>
      <w:tr>
        <w:trPr>
          <w:trHeight w:val="102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研究生专业要求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2351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济南起步区直管街道办事 处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济南起步区管委会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经济学类、财政学类、法学类、中国语言文学类、新闻传播学类、计算机类、土木类、水利类、建筑类、环境科学与工程类、管理科学与工程类、农学类、工商管理类、审计专业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0531-66604592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"mailto:qbqgbes@126.com"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qbqgbes@126.com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录用后根据工作需要统筹分配至大桥街道、崔寨街道、孙耿街道、太平街道工作。</w:t>
            </w:r>
          </w:p>
        </w:tc>
      </w:tr>
      <w:tr>
        <w:trPr>
          <w:trHeight w:val="27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济南市疾病预防控制中心起步区分中心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济南起步区管委会社会事业部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疾病预防控制岗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公共卫生与预防医学一级学科（传染病预防控制、病原与传染病防控、流行病与卫生统计学、劳动卫生与环境卫生学、职业卫生与职业医学、健康教育与健康促进、卫生检验学方向）、公共卫生专业学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0531-66604147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"mailto:xxqwjbgs@jn.shandong.cn"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xxqwjbgs@jn.shandong.cn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96389"/>
    <w:rsid w:val="BFE96389"/>
    <w:rsid w:val="CAFFC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2024-06-04T03:56:00Z</dcterms:created>
  <dc:creator>飞马踏燕</dc:creator>
  <cp:lastModifiedBy>飞马踏燕</cp:lastModifiedBy>
  <dcterms:modified xsi:type="dcterms:W3CDTF">2024-06-03T20:18:51Z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CC916A621E15177C82AF5D6659F706E5_41</vt:lpwstr>
  </property>
</Properties>
</file>