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附件</w:t>
      </w:r>
      <w:r>
        <w:rPr>
          <w:rFonts w:hint="eastAsia" w:eastAsia="黑体" w:cs="Times New Roman"/>
          <w:bCs/>
          <w:color w:val="000000"/>
          <w:sz w:val="36"/>
          <w:szCs w:val="36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本人有效居民身份证、面试通知单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（纸质版）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在规定时间内入闱参加面试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7︰30以前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；下午面试的，须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13︰30以前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请提前到达考点，配合工作人员进行入场核验，并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二、面试人员入闱后须将携带的所有通信工具、电子储存记忆录放等设备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交由工作人员统一保管，在整个入闱面试期间不得携带、使用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三、面试人员在开考前进入候考室抽签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按抽签顺序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工作人员透露面试人员的姓名、笔试准考证号、现工作单位和笔试成绩名次信息，不得穿着有明显职业特征的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服装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五、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面试设置备考室，面试人员先到备考室准备7分钟，再到面试考场答题7分钟。面试人员在进入备考室及面试考场时，不得携带任何自带物品和资料（包括面试通知单）。面试人员在备考室领取并使用的草稿纸可带入面试考场。面试人员进入备考室后，应在备考计时信号发出后开始准备和思考，在规定备考时间用完后，面试人员应停止备考，离开备考室至面试考场。面试人员应完全使用7分钟备考时间，不得提前离开备考室。面试人员进入面试考场后，应在开考计时信号发出后开始答题，在规定答题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六、面试人员面试结束后要立即离开考场，由工作人员引领离开考点。面试结束后的试题为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工作秘密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，不得对外透露、传播面试试题。全体人员面试结束后，面试成绩将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ascii="Times New Roman" w:hAnsi="Times New Roman" w:eastAsia="仿宋_GB2312"/>
          <w:color w:val="000000"/>
          <w:sz w:val="32"/>
          <w:szCs w:val="32"/>
        </w:rPr>
        <w:t>“灯塔-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菏泽</w:t>
      </w:r>
      <w:r>
        <w:rPr>
          <w:rFonts w:ascii="Times New Roman" w:hAnsi="Times New Roman" w:eastAsia="仿宋_GB2312"/>
          <w:color w:val="000000"/>
          <w:sz w:val="32"/>
          <w:szCs w:val="32"/>
        </w:rPr>
        <w:t>党建网”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的</w:t>
      </w:r>
      <w:r>
        <w:rPr>
          <w:rFonts w:ascii="Times New Roman" w:hAnsi="Times New Roman" w:eastAsia="仿宋_GB2312"/>
          <w:color w:val="000000"/>
          <w:sz w:val="32"/>
          <w:szCs w:val="32"/>
        </w:rPr>
        <w:t>“公务员专栏”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发布。</w:t>
      </w:r>
    </w:p>
    <w:p>
      <w:pPr>
        <w:wordWrap/>
        <w:spacing w:line="600" w:lineRule="exact"/>
        <w:ind w:firstLine="640" w:firstLineChars="200"/>
        <w:jc w:val="left"/>
        <w:rPr>
          <w:rFonts w:eastAsia="仿宋_GB2312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  <w:r>
        <w:rPr>
          <w:rFonts w:eastAsia="仿宋_GB2312"/>
          <w:sz w:val="36"/>
          <w:szCs w:val="36"/>
        </w:rPr>
        <w:t xml:space="preserve">    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814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4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4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515E5216"/>
    <w:rsid w:val="6B9C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2023-06-08T01:23:43Z</dcterms:created>
  <dc:creator>马星</dc:creator>
  <cp:lastModifiedBy>马星</cp:lastModifiedBy>
  <dcterms:modified xsi:type="dcterms:W3CDTF">2023-06-08T01:31:10Z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6BF03435A6CD4D3983617C0C37E5ED04_12</vt:lpwstr>
  </property>
</Properties>
</file>